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楷体_GB2312" w:hAnsi="新宋体" w:eastAsia="楷体_GB2312"/>
          <w:sz w:val="44"/>
          <w:szCs w:val="44"/>
        </w:rPr>
      </w:pPr>
      <w:r>
        <w:rPr>
          <w:rFonts w:hint="eastAsia" w:ascii="楷体_GB2312" w:hAnsi="新宋体" w:eastAsia="楷体_GB2312"/>
          <w:sz w:val="44"/>
          <w:szCs w:val="44"/>
          <w:lang w:val="en-US" w:eastAsia="zh-CN"/>
        </w:rPr>
        <w:t>2019年秋季</w:t>
      </w:r>
      <w:r>
        <w:rPr>
          <w:rFonts w:hint="eastAsia" w:ascii="楷体_GB2312" w:hAnsi="新宋体" w:eastAsia="楷体_GB2312"/>
          <w:sz w:val="44"/>
          <w:szCs w:val="44"/>
          <w:lang w:eastAsia="zh-CN"/>
        </w:rPr>
        <w:t>预交乘车费服务指南</w:t>
      </w:r>
    </w:p>
    <w:p>
      <w:pPr>
        <w:rPr>
          <w:rFonts w:hint="eastAsia" w:ascii="楷体_GB2312" w:hAnsi="新宋体" w:eastAsia="楷体_GB2312"/>
          <w:color w:val="FF0000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 xml:space="preserve">    8月19日上午9:00——下午2:00绵阳市各客运站将安排工作人员到中学部上门预收</w:t>
      </w:r>
      <w:r>
        <w:rPr>
          <w:rFonts w:hint="eastAsia" w:ascii="楷体_GB2312" w:hAnsi="新宋体" w:eastAsia="楷体_GB2312"/>
          <w:color w:val="FF0000"/>
          <w:sz w:val="28"/>
          <w:szCs w:val="28"/>
          <w:lang w:val="en-US" w:eastAsia="zh-CN"/>
        </w:rPr>
        <w:t>高一新生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本期的乘车费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，希望愿意继续乘车者及时前往广雅楼一楼指定窗口预存费用【全期只收一次，尽可多存】，过时客运公司不再单独到学校预收车费，</w:t>
      </w:r>
      <w:r>
        <w:rPr>
          <w:rFonts w:hint="eastAsia" w:ascii="楷体_GB2312" w:hAnsi="新宋体" w:eastAsia="楷体_GB2312"/>
          <w:color w:val="FF0000"/>
          <w:sz w:val="28"/>
          <w:szCs w:val="28"/>
          <w:lang w:eastAsia="zh-CN"/>
        </w:rPr>
        <w:t>只有自己前往客运站开户交费。</w:t>
      </w:r>
      <w:r>
        <w:rPr>
          <w:rFonts w:hint="eastAsia" w:ascii="楷体_GB2312" w:hAnsi="新宋体" w:eastAsia="楷体_GB2312"/>
          <w:color w:val="auto"/>
          <w:sz w:val="28"/>
          <w:szCs w:val="28"/>
          <w:lang w:eastAsia="zh-CN"/>
        </w:rPr>
        <w:t>余额不足者自动停止专车接送服务！</w:t>
      </w:r>
    </w:p>
    <w:p>
      <w:pPr>
        <w:ind w:left="0" w:leftChars="0" w:right="0" w:rightChars="0" w:firstLine="0" w:firstLineChars="0"/>
        <w:jc w:val="center"/>
        <w:rPr>
          <w:rFonts w:hint="eastAsia" w:ascii="楷体_GB2312" w:hAnsi="新宋体" w:eastAsia="楷体_GB2312"/>
          <w:sz w:val="44"/>
          <w:szCs w:val="44"/>
          <w:lang w:eastAsia="zh-CN"/>
        </w:rPr>
      </w:pPr>
      <w:r>
        <w:rPr>
          <w:rFonts w:hint="eastAsia" w:ascii="楷体_GB2312" w:hAnsi="新宋体" w:eastAsia="楷体_GB2312"/>
          <w:sz w:val="44"/>
          <w:szCs w:val="44"/>
          <w:lang w:eastAsia="zh-CN"/>
        </w:rPr>
        <w:t>收费地点</w:t>
      </w:r>
      <w:r>
        <w:rPr>
          <w:rFonts w:hint="eastAsia" w:ascii="楷体_GB2312" w:hAnsi="新宋体" w:eastAsia="楷体_GB2312"/>
          <w:color w:val="FF0000"/>
          <w:sz w:val="44"/>
          <w:szCs w:val="44"/>
          <w:lang w:eastAsia="zh-CN"/>
        </w:rPr>
        <w:t>【广雅楼一楼】</w:t>
      </w:r>
      <w:r>
        <w:rPr>
          <w:rFonts w:hint="eastAsia" w:ascii="楷体_GB2312" w:hAnsi="新宋体" w:eastAsia="楷体_GB2312"/>
          <w:sz w:val="44"/>
          <w:szCs w:val="44"/>
          <w:lang w:eastAsia="zh-CN"/>
        </w:rPr>
        <w:t>安排表</w:t>
      </w:r>
    </w:p>
    <w:tbl>
      <w:tblPr>
        <w:tblStyle w:val="2"/>
        <w:tblpPr w:leftFromText="180" w:rightFromText="180" w:vertAnchor="text" w:tblpX="257" w:tblpY="67"/>
        <w:tblOverlap w:val="never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670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0"/>
                <w:szCs w:val="30"/>
                <w:vertAlign w:val="baseline"/>
                <w:lang w:eastAsia="zh-CN"/>
              </w:rPr>
              <w:t>客运站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服务线路</w:t>
            </w:r>
          </w:p>
        </w:tc>
        <w:tc>
          <w:tcPr>
            <w:tcW w:w="136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楼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大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厅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定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窗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平政站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江油</w:t>
            </w:r>
            <w:r>
              <w:rPr>
                <w:rFonts w:hint="eastAsia" w:ascii="楷体_GB2312" w:hAnsi="新宋体" w:eastAsia="楷体_GB2312"/>
                <w:color w:val="FF00FF"/>
                <w:sz w:val="44"/>
                <w:szCs w:val="44"/>
                <w:vertAlign w:val="baseline"/>
                <w:lang w:eastAsia="zh-CN"/>
              </w:rPr>
              <w:t>回家，</w:t>
            </w: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中江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江油站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江油</w:t>
            </w:r>
            <w:r>
              <w:rPr>
                <w:rFonts w:hint="eastAsia" w:ascii="楷体_GB2312" w:hAnsi="新宋体" w:eastAsia="楷体_GB2312"/>
                <w:color w:val="FF00FF"/>
                <w:sz w:val="44"/>
                <w:szCs w:val="44"/>
                <w:vertAlign w:val="baseline"/>
                <w:lang w:eastAsia="zh-CN"/>
              </w:rPr>
              <w:t>返校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快车公司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广元</w:t>
            </w: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val="en-US" w:eastAsia="zh-CN"/>
              </w:rPr>
              <w:t>、宝轮、旺苍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富乐站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  <w:t>梓潼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南湖站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三台、大英、遂宁、射洪、蓬溪、</w:t>
            </w:r>
          </w:p>
          <w:p>
            <w:pPr>
              <w:jc w:val="center"/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32"/>
                <w:szCs w:val="32"/>
                <w:vertAlign w:val="baseline"/>
                <w:lang w:eastAsia="zh-CN"/>
              </w:rPr>
              <w:t>南充、岳池、广安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eastAsia="zh-CN"/>
              </w:rPr>
              <w:t>总站交发</w:t>
            </w:r>
            <w: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21"/>
                <w:szCs w:val="21"/>
                <w:vertAlign w:val="baseline"/>
                <w:lang w:eastAsia="zh-CN"/>
              </w:rPr>
              <w:t>金堂、彭州、</w:t>
            </w:r>
            <w:r>
              <w:rPr>
                <w:rFonts w:hint="eastAsia" w:ascii="楷体_GB2312" w:hAnsi="新宋体" w:eastAsia="楷体_GB2312"/>
                <w:color w:val="FF0000"/>
                <w:sz w:val="21"/>
                <w:szCs w:val="21"/>
                <w:vertAlign w:val="baseline"/>
                <w:lang w:eastAsia="zh-CN"/>
              </w:rPr>
              <w:t>郫县、</w:t>
            </w:r>
            <w:r>
              <w:rPr>
                <w:rFonts w:hint="eastAsia" w:ascii="楷体_GB2312" w:hAnsi="新宋体" w:eastAsia="楷体_GB2312"/>
                <w:color w:val="FF0000"/>
                <w:sz w:val="24"/>
                <w:szCs w:val="24"/>
                <w:vertAlign w:val="baseline"/>
                <w:lang w:eastAsia="zh-CN"/>
              </w:rPr>
              <w:t>温江、崇州、</w:t>
            </w:r>
            <w:r>
              <w:rPr>
                <w:rFonts w:hint="eastAsia" w:ascii="楷体_GB2312" w:hAnsi="新宋体" w:eastAsia="楷体_GB2312"/>
                <w:sz w:val="21"/>
                <w:szCs w:val="21"/>
                <w:vertAlign w:val="baseline"/>
                <w:lang w:eastAsia="zh-CN"/>
              </w:rPr>
              <w:t>都江堰、</w:t>
            </w:r>
            <w:r>
              <w:rPr>
                <w:rFonts w:hint="eastAsia" w:ascii="楷体_GB2312" w:hAnsi="新宋体" w:eastAsia="楷体_GB2312"/>
                <w:sz w:val="24"/>
                <w:szCs w:val="24"/>
                <w:vertAlign w:val="baseline"/>
                <w:lang w:eastAsia="zh-CN"/>
              </w:rPr>
              <w:t>成都、高县、珙县、长宁、江安，宜宾、名山、雅安、荥经、</w:t>
            </w:r>
            <w:r>
              <w:rPr>
                <w:rFonts w:hint="eastAsia" w:ascii="楷体_GB2312" w:hAnsi="新宋体" w:eastAsia="楷体_GB2312"/>
                <w:color w:val="FF0000"/>
                <w:sz w:val="24"/>
                <w:szCs w:val="24"/>
                <w:vertAlign w:val="baseline"/>
                <w:lang w:eastAsia="zh-CN"/>
              </w:rPr>
              <w:t>汉源、</w:t>
            </w:r>
            <w:r>
              <w:rPr>
                <w:rFonts w:hint="eastAsia" w:ascii="楷体_GB2312" w:hAnsi="新宋体" w:eastAsia="楷体_GB2312"/>
                <w:sz w:val="24"/>
                <w:szCs w:val="24"/>
                <w:vertAlign w:val="baseline"/>
                <w:lang w:eastAsia="zh-CN"/>
              </w:rPr>
              <w:t>资阳、简阳、巴中、阆中（含南部定水）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eastAsia="zh-CN"/>
              </w:rPr>
              <w:t>总站交发</w:t>
            </w:r>
            <w:r>
              <w:rPr>
                <w:rFonts w:hint="eastAsia" w:ascii="楷体_GB2312" w:hAnsi="新宋体" w:eastAsia="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700" w:type="dxa"/>
            <w:noWrap w:val="0"/>
            <w:vAlign w:val="top"/>
          </w:tcPr>
          <w:p>
            <w:pPr>
              <w:rPr>
                <w:rFonts w:hint="eastAsia" w:ascii="楷体_GB2312" w:hAnsi="新宋体" w:eastAsia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新宋体" w:eastAsia="楷体_GB2312"/>
                <w:sz w:val="24"/>
                <w:szCs w:val="24"/>
                <w:vertAlign w:val="baseline"/>
                <w:lang w:eastAsia="zh-CN"/>
              </w:rPr>
              <w:t>绵竹、德阳、广汉、什邡、新都、青白江</w:t>
            </w: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 w:ascii="楷体_GB2312" w:hAnsi="新宋体" w:eastAsia="楷体_GB2312"/>
          <w:sz w:val="32"/>
          <w:szCs w:val="32"/>
          <w:lang w:eastAsia="zh-CN"/>
        </w:rPr>
      </w:pPr>
      <w:r>
        <w:rPr>
          <w:rFonts w:hint="eastAsia" w:ascii="楷体_GB2312" w:hAnsi="新宋体" w:eastAsia="楷体_GB2312"/>
          <w:sz w:val="32"/>
          <w:szCs w:val="32"/>
          <w:lang w:eastAsia="zh-CN"/>
        </w:rPr>
        <w:t>说明：</w:t>
      </w:r>
      <w:r>
        <w:rPr>
          <w:rFonts w:hint="eastAsia" w:ascii="楷体_GB2312" w:hAnsi="新宋体" w:eastAsia="楷体_GB2312"/>
          <w:color w:val="FF0000"/>
          <w:sz w:val="32"/>
          <w:szCs w:val="32"/>
          <w:highlight w:val="none"/>
          <w:lang w:eastAsia="zh-CN"/>
        </w:rPr>
        <w:t>暂时无法开通专车的线路</w:t>
      </w:r>
      <w:r>
        <w:rPr>
          <w:rFonts w:hint="eastAsia" w:ascii="楷体_GB2312" w:hAnsi="新宋体" w:eastAsia="楷体_GB2312"/>
          <w:sz w:val="32"/>
          <w:szCs w:val="32"/>
          <w:lang w:eastAsia="zh-CN"/>
        </w:rPr>
        <w:t>放月假一周前到生活教师处单独登记、临时缴费，学校派老师统一到各客运站为大家提供</w:t>
      </w:r>
      <w:r>
        <w:rPr>
          <w:rFonts w:hint="eastAsia" w:ascii="楷体_GB2312" w:hAnsi="新宋体" w:eastAsia="楷体_GB2312"/>
          <w:sz w:val="32"/>
          <w:szCs w:val="32"/>
          <w:highlight w:val="yellow"/>
          <w:lang w:eastAsia="zh-CN"/>
        </w:rPr>
        <w:t>代购车票服务</w:t>
      </w:r>
      <w:r>
        <w:rPr>
          <w:rFonts w:hint="eastAsia" w:ascii="楷体_GB2312" w:hAnsi="新宋体" w:eastAsia="楷体_GB2312"/>
          <w:sz w:val="32"/>
          <w:szCs w:val="32"/>
          <w:lang w:eastAsia="zh-CN"/>
        </w:rPr>
        <w:t>，</w:t>
      </w:r>
      <w:r>
        <w:rPr>
          <w:rFonts w:hint="eastAsia" w:ascii="楷体_GB2312" w:hAnsi="新宋体" w:eastAsia="楷体_GB2312"/>
          <w:color w:val="FF0000"/>
          <w:sz w:val="32"/>
          <w:szCs w:val="32"/>
          <w:lang w:eastAsia="zh-CN"/>
        </w:rPr>
        <w:t>此次不预存</w:t>
      </w:r>
      <w:r>
        <w:rPr>
          <w:rFonts w:hint="eastAsia" w:ascii="楷体_GB2312" w:hAnsi="新宋体" w:eastAsia="楷体_GB2312"/>
          <w:sz w:val="32"/>
          <w:szCs w:val="32"/>
          <w:lang w:eastAsia="zh-CN"/>
        </w:rPr>
        <w:t>！</w:t>
      </w:r>
    </w:p>
    <w:p>
      <w:pPr>
        <w:rPr>
          <w:rFonts w:hint="eastAsia" w:ascii="楷体_GB2312" w:hAnsi="新宋体" w:eastAsia="楷体_GB2312"/>
          <w:sz w:val="32"/>
          <w:szCs w:val="32"/>
          <w:lang w:eastAsia="zh-CN"/>
        </w:rPr>
      </w:pPr>
      <w:r>
        <w:rPr>
          <w:rFonts w:hint="eastAsia" w:ascii="楷体_GB2312" w:hAnsi="新宋体" w:eastAsia="楷体_GB2312"/>
          <w:sz w:val="32"/>
          <w:szCs w:val="32"/>
          <w:lang w:val="en-US" w:eastAsia="zh-CN"/>
        </w:rPr>
        <w:t xml:space="preserve">    高铁动车接送服务请联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系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管理员邓旭英老师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13547002164，了解操作流程。</w:t>
      </w:r>
    </w:p>
    <w:p>
      <w:pPr>
        <w:rPr>
          <w:rFonts w:hint="eastAsia" w:ascii="楷体_GB2312" w:hAnsi="新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新宋体" w:eastAsia="楷体_GB2312"/>
          <w:sz w:val="32"/>
          <w:szCs w:val="32"/>
          <w:lang w:val="en-US" w:eastAsia="zh-CN"/>
        </w:rPr>
        <w:t xml:space="preserve">                                        2019.8.19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有您真好</cp:lastModifiedBy>
  <dcterms:modified xsi:type="dcterms:W3CDTF">2019-08-12T07:18:07Z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